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8E3685" w:rsidP="008E3685">
      <w:pPr>
        <w:tabs>
          <w:tab w:val="center" w:pos="3827"/>
        </w:tabs>
        <w:spacing w:line="240" w:lineRule="auto"/>
        <w:jc w:val="center"/>
        <w:rPr>
          <w:rFonts w:cs="Arial"/>
          <w:sz w:val="24"/>
          <w:szCs w:val="24"/>
        </w:rPr>
      </w:pPr>
    </w:p>
    <w:p w:rsidR="008E3685" w:rsidRDefault="00A83F51" w:rsidP="008E3685">
      <w:pPr>
        <w:pStyle w:val="Heading4"/>
        <w:tabs>
          <w:tab w:val="center" w:pos="3827"/>
        </w:tabs>
        <w:spacing w:before="120" w:after="0" w:line="240" w:lineRule="auto"/>
        <w:ind w:right="-147"/>
        <w:jc w:val="center"/>
        <w:rPr>
          <w:rFonts w:ascii="Arial" w:hAnsi="Arial" w:cs="Arial"/>
          <w:bCs w:val="0"/>
          <w:sz w:val="24"/>
          <w:szCs w:val="24"/>
        </w:rPr>
      </w:pPr>
      <w:r>
        <w:rPr>
          <w:rFonts w:ascii="Arial" w:hAnsi="Arial" w:cs="Arial"/>
          <w:bCs w:val="0"/>
          <w:sz w:val="24"/>
          <w:szCs w:val="24"/>
        </w:rPr>
        <w:t>ANNEX B</w:t>
      </w:r>
    </w:p>
    <w:p w:rsidR="008E3685" w:rsidRDefault="00DF340C" w:rsidP="008E3685">
      <w:pPr>
        <w:pStyle w:val="Heading6"/>
        <w:rPr>
          <w:lang w:val="en-GB"/>
        </w:rPr>
      </w:pPr>
      <w:r>
        <w:rPr>
          <w:lang w:val="en-GB"/>
        </w:rPr>
        <w:t>SERVICES</w:t>
      </w:r>
    </w:p>
    <w:p w:rsidR="008E3685" w:rsidRDefault="008E3685" w:rsidP="008E3685"/>
    <w:p w:rsidR="008E3685" w:rsidRDefault="008E3685" w:rsidP="008E3685"/>
    <w:p w:rsidR="008E3685" w:rsidRDefault="008E3685" w:rsidP="008E3685"/>
    <w:p w:rsidR="008E3685" w:rsidRDefault="008E3685" w:rsidP="008E3685"/>
    <w:p w:rsidR="008E3685" w:rsidRDefault="008E3685">
      <w:pPr>
        <w:tabs>
          <w:tab w:val="clear" w:pos="357"/>
          <w:tab w:val="clear" w:pos="720"/>
        </w:tabs>
        <w:snapToGrid/>
        <w:spacing w:before="0" w:after="160" w:line="259" w:lineRule="auto"/>
      </w:pPr>
      <w:r>
        <w:br w:type="page"/>
      </w:r>
    </w:p>
    <w:p w:rsidR="008E3685" w:rsidRPr="008E3685" w:rsidRDefault="008E3685" w:rsidP="008E3685">
      <w:pPr>
        <w:keepNext/>
        <w:pageBreakBefore/>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s>
        <w:snapToGrid/>
        <w:spacing w:before="240" w:after="480" w:line="360" w:lineRule="auto"/>
        <w:jc w:val="center"/>
        <w:outlineLvl w:val="0"/>
        <w:rPr>
          <w:rFonts w:cs="Arial"/>
          <w:b/>
          <w:bCs/>
          <w:noProof/>
          <w:color w:val="FFFFFF"/>
          <w:kern w:val="32"/>
          <w:sz w:val="36"/>
          <w:szCs w:val="36"/>
          <w:lang w:eastAsia="en-US"/>
        </w:rPr>
      </w:pPr>
      <w:r w:rsidRPr="008E3685">
        <w:rPr>
          <w:rFonts w:cs="Arial"/>
          <w:b/>
          <w:bCs/>
          <w:noProof/>
          <w:color w:val="FFFFFF"/>
          <w:kern w:val="32"/>
          <w:sz w:val="36"/>
          <w:szCs w:val="36"/>
          <w:lang w:eastAsia="en-US"/>
        </w:rPr>
        <w:lastRenderedPageBreak/>
        <w:t>Index</w:t>
      </w:r>
    </w:p>
    <w:bookmarkStart w:id="0" w:name="_Toc65345362"/>
    <w:bookmarkStart w:id="1" w:name="_Toc67802495"/>
    <w:p w:rsidR="003273AB" w:rsidRDefault="008E3685">
      <w:pPr>
        <w:pStyle w:val="TOC1"/>
        <w:tabs>
          <w:tab w:val="left" w:pos="440"/>
          <w:tab w:val="right" w:pos="9350"/>
        </w:tabs>
        <w:rPr>
          <w:rFonts w:asciiTheme="minorHAnsi" w:eastAsiaTheme="minorEastAsia" w:hAnsiTheme="minorHAnsi" w:cstheme="minorBidi"/>
          <w:noProof/>
          <w:sz w:val="22"/>
          <w:szCs w:val="22"/>
          <w:lang w:val="en-US" w:eastAsia="en-US"/>
        </w:rPr>
      </w:pPr>
      <w:r w:rsidRPr="008E3685">
        <w:rPr>
          <w:rFonts w:cs="Arial"/>
          <w:b/>
          <w:bCs/>
          <w:caps/>
        </w:rPr>
        <w:fldChar w:fldCharType="begin"/>
      </w:r>
      <w:r w:rsidRPr="008E3685">
        <w:rPr>
          <w:rFonts w:cs="Arial"/>
          <w:b/>
          <w:bCs/>
          <w:caps/>
        </w:rPr>
        <w:instrText xml:space="preserve"> TOC \o "1-1" \h \z </w:instrText>
      </w:r>
      <w:r w:rsidRPr="008E3685">
        <w:rPr>
          <w:rFonts w:cs="Arial"/>
          <w:b/>
          <w:bCs/>
          <w:caps/>
        </w:rPr>
        <w:fldChar w:fldCharType="separate"/>
      </w:r>
      <w:hyperlink w:anchor="_Toc505094876" w:history="1">
        <w:r w:rsidR="003273AB" w:rsidRPr="001B6E77">
          <w:rPr>
            <w:rStyle w:val="Hyperlink"/>
            <w:noProof/>
          </w:rPr>
          <w:t>1.</w:t>
        </w:r>
        <w:r w:rsidR="003273AB">
          <w:rPr>
            <w:rFonts w:asciiTheme="minorHAnsi" w:eastAsiaTheme="minorEastAsia" w:hAnsiTheme="minorHAnsi" w:cstheme="minorBidi"/>
            <w:noProof/>
            <w:sz w:val="22"/>
            <w:szCs w:val="22"/>
            <w:lang w:val="en-US" w:eastAsia="en-US"/>
          </w:rPr>
          <w:tab/>
        </w:r>
        <w:r w:rsidR="003273AB" w:rsidRPr="001B6E77">
          <w:rPr>
            <w:rStyle w:val="Hyperlink"/>
            <w:noProof/>
          </w:rPr>
          <w:t>General</w:t>
        </w:r>
        <w:r w:rsidR="003273AB">
          <w:rPr>
            <w:noProof/>
            <w:webHidden/>
          </w:rPr>
          <w:tab/>
        </w:r>
        <w:r w:rsidR="003273AB">
          <w:rPr>
            <w:noProof/>
            <w:webHidden/>
          </w:rPr>
          <w:fldChar w:fldCharType="begin"/>
        </w:r>
        <w:r w:rsidR="003273AB">
          <w:rPr>
            <w:noProof/>
            <w:webHidden/>
          </w:rPr>
          <w:instrText xml:space="preserve"> PAGEREF _Toc505094876 \h </w:instrText>
        </w:r>
        <w:r w:rsidR="003273AB">
          <w:rPr>
            <w:noProof/>
            <w:webHidden/>
          </w:rPr>
        </w:r>
        <w:r w:rsidR="003273AB">
          <w:rPr>
            <w:noProof/>
            <w:webHidden/>
          </w:rPr>
          <w:fldChar w:fldCharType="separate"/>
        </w:r>
        <w:r w:rsidR="00F615A0">
          <w:rPr>
            <w:noProof/>
            <w:webHidden/>
          </w:rPr>
          <w:t>3</w:t>
        </w:r>
        <w:r w:rsidR="003273AB">
          <w:rPr>
            <w:noProof/>
            <w:webHidden/>
          </w:rPr>
          <w:fldChar w:fldCharType="end"/>
        </w:r>
      </w:hyperlink>
    </w:p>
    <w:p w:rsidR="003273AB" w:rsidRDefault="003273AB">
      <w:pPr>
        <w:pStyle w:val="TOC1"/>
        <w:tabs>
          <w:tab w:val="left" w:pos="440"/>
          <w:tab w:val="right" w:pos="9350"/>
        </w:tabs>
        <w:rPr>
          <w:rFonts w:asciiTheme="minorHAnsi" w:eastAsiaTheme="minorEastAsia" w:hAnsiTheme="minorHAnsi" w:cstheme="minorBidi"/>
          <w:noProof/>
          <w:sz w:val="22"/>
          <w:szCs w:val="22"/>
          <w:lang w:val="en-US" w:eastAsia="en-US"/>
        </w:rPr>
      </w:pPr>
      <w:hyperlink w:anchor="_Toc505094877" w:history="1">
        <w:r w:rsidRPr="001B6E77">
          <w:rPr>
            <w:rStyle w:val="Hyperlink"/>
            <w:noProof/>
          </w:rPr>
          <w:t>2.</w:t>
        </w:r>
        <w:r>
          <w:rPr>
            <w:rFonts w:asciiTheme="minorHAnsi" w:eastAsiaTheme="minorEastAsia" w:hAnsiTheme="minorHAnsi" w:cstheme="minorBidi"/>
            <w:noProof/>
            <w:sz w:val="22"/>
            <w:szCs w:val="22"/>
            <w:lang w:val="en-US" w:eastAsia="en-US"/>
          </w:rPr>
          <w:tab/>
        </w:r>
        <w:r w:rsidRPr="001B6E77">
          <w:rPr>
            <w:rStyle w:val="Hyperlink"/>
            <w:noProof/>
          </w:rPr>
          <w:t>The Services</w:t>
        </w:r>
        <w:r>
          <w:rPr>
            <w:noProof/>
            <w:webHidden/>
          </w:rPr>
          <w:tab/>
        </w:r>
        <w:r>
          <w:rPr>
            <w:noProof/>
            <w:webHidden/>
          </w:rPr>
          <w:fldChar w:fldCharType="begin"/>
        </w:r>
        <w:r>
          <w:rPr>
            <w:noProof/>
            <w:webHidden/>
          </w:rPr>
          <w:instrText xml:space="preserve"> PAGEREF _Toc505094877 \h </w:instrText>
        </w:r>
        <w:r>
          <w:rPr>
            <w:noProof/>
            <w:webHidden/>
          </w:rPr>
        </w:r>
        <w:r>
          <w:rPr>
            <w:noProof/>
            <w:webHidden/>
          </w:rPr>
          <w:fldChar w:fldCharType="separate"/>
        </w:r>
        <w:r w:rsidR="00F615A0">
          <w:rPr>
            <w:noProof/>
            <w:webHidden/>
          </w:rPr>
          <w:t>4</w:t>
        </w:r>
        <w:r>
          <w:rPr>
            <w:noProof/>
            <w:webHidden/>
          </w:rPr>
          <w:fldChar w:fldCharType="end"/>
        </w:r>
      </w:hyperlink>
    </w:p>
    <w:p w:rsidR="008E3685" w:rsidRPr="008E3685" w:rsidRDefault="008E3685" w:rsidP="008E3685">
      <w:pPr>
        <w:snapToGrid/>
        <w:spacing w:after="120" w:line="360" w:lineRule="auto"/>
        <w:rPr>
          <w:rFonts w:ascii="Times New Roman" w:hAnsi="Times New Roman"/>
          <w:sz w:val="22"/>
          <w:szCs w:val="22"/>
        </w:rPr>
      </w:pPr>
      <w:r w:rsidRPr="008E3685">
        <w:rPr>
          <w:rFonts w:ascii="Times New Roman" w:hAnsi="Times New Roman"/>
          <w:sz w:val="22"/>
          <w:szCs w:val="22"/>
        </w:rPr>
        <w:fldChar w:fldCharType="end"/>
      </w:r>
    </w:p>
    <w:p w:rsidR="008E3685" w:rsidRPr="008E3685" w:rsidRDefault="008E3685" w:rsidP="008E3685">
      <w:pPr>
        <w:snapToGrid/>
        <w:spacing w:line="240" w:lineRule="auto"/>
        <w:rPr>
          <w:rFonts w:ascii="Times New Roman" w:hAnsi="Times New Roman"/>
          <w:sz w:val="22"/>
          <w:szCs w:val="22"/>
        </w:rPr>
      </w:pPr>
    </w:p>
    <w:p w:rsidR="008E3685" w:rsidRPr="008E3685" w:rsidRDefault="008E3685" w:rsidP="008E3685">
      <w:pPr>
        <w:snapToGrid/>
        <w:spacing w:line="240" w:lineRule="auto"/>
        <w:rPr>
          <w:rFonts w:ascii="Times New Roman" w:hAnsi="Times New Roman"/>
          <w:sz w:val="22"/>
          <w:szCs w:val="22"/>
        </w:rPr>
      </w:pPr>
    </w:p>
    <w:p w:rsidR="008E3685" w:rsidRPr="008E3685" w:rsidRDefault="008E3685" w:rsidP="008E3685">
      <w:pPr>
        <w:snapToGrid/>
        <w:spacing w:line="240" w:lineRule="auto"/>
        <w:rPr>
          <w:rFonts w:ascii="Times New Roman" w:hAnsi="Times New Roman"/>
          <w:sz w:val="22"/>
          <w:szCs w:val="22"/>
        </w:rPr>
      </w:pPr>
    </w:p>
    <w:p w:rsidR="008E3685" w:rsidRPr="008E3685" w:rsidRDefault="008E3685" w:rsidP="008E3685">
      <w:pPr>
        <w:snapToGrid/>
        <w:spacing w:line="240" w:lineRule="auto"/>
        <w:rPr>
          <w:rFonts w:ascii="Times New Roman" w:hAnsi="Times New Roman"/>
          <w:sz w:val="22"/>
          <w:szCs w:val="22"/>
        </w:rPr>
      </w:pPr>
    </w:p>
    <w:p w:rsidR="008E3685" w:rsidRPr="008E3685" w:rsidRDefault="008E3685" w:rsidP="008E3685">
      <w:pPr>
        <w:tabs>
          <w:tab w:val="clear" w:pos="357"/>
          <w:tab w:val="clear" w:pos="720"/>
          <w:tab w:val="left" w:pos="3210"/>
        </w:tabs>
        <w:snapToGrid/>
        <w:spacing w:line="240" w:lineRule="auto"/>
        <w:rPr>
          <w:rFonts w:ascii="Times New Roman" w:hAnsi="Times New Roman"/>
          <w:sz w:val="22"/>
          <w:szCs w:val="22"/>
        </w:rPr>
      </w:pPr>
      <w:r w:rsidRPr="008E3685">
        <w:rPr>
          <w:rFonts w:ascii="Times New Roman" w:hAnsi="Times New Roman"/>
          <w:sz w:val="22"/>
          <w:szCs w:val="22"/>
        </w:rPr>
        <w:tab/>
      </w:r>
    </w:p>
    <w:p w:rsidR="008E3685" w:rsidRPr="00773E99" w:rsidRDefault="008E3685" w:rsidP="00A45F23">
      <w:pPr>
        <w:pStyle w:val="Style1"/>
        <w:ind w:right="0"/>
      </w:pPr>
      <w:bookmarkStart w:id="2" w:name="_Toc505094876"/>
      <w:r w:rsidRPr="00773E99">
        <w:lastRenderedPageBreak/>
        <w:t>General</w:t>
      </w:r>
      <w:bookmarkEnd w:id="0"/>
      <w:bookmarkEnd w:id="1"/>
      <w:bookmarkEnd w:id="2"/>
    </w:p>
    <w:p w:rsidR="00CE2C7C" w:rsidRPr="00CE2C7C" w:rsidRDefault="00CE2C7C" w:rsidP="00507B4D">
      <w:pPr>
        <w:pStyle w:val="ListParagraph"/>
        <w:keepNext/>
        <w:numPr>
          <w:ilvl w:val="0"/>
          <w:numId w:val="3"/>
        </w:numPr>
        <w:tabs>
          <w:tab w:val="clear" w:pos="357"/>
          <w:tab w:val="clear" w:pos="720"/>
          <w:tab w:val="num" w:pos="576"/>
        </w:tabs>
        <w:snapToGrid/>
        <w:spacing w:after="120" w:line="360" w:lineRule="auto"/>
        <w:ind w:left="576" w:right="432" w:hanging="576"/>
        <w:contextualSpacing w:val="0"/>
        <w:jc w:val="both"/>
        <w:outlineLvl w:val="1"/>
        <w:rPr>
          <w:rFonts w:cs="Arial"/>
          <w:lang w:eastAsia="en-US"/>
        </w:rPr>
      </w:pPr>
      <w:r w:rsidRPr="00CE2C7C">
        <w:rPr>
          <w:rFonts w:cs="Arial"/>
          <w:lang w:val="en-US"/>
        </w:rPr>
        <w:t xml:space="preserve">This Annex sets out the service packages supplied by </w:t>
      </w:r>
      <w:r w:rsidR="00507B4D">
        <w:rPr>
          <w:rFonts w:cs="Arial"/>
          <w:lang w:val="en-US"/>
        </w:rPr>
        <w:t>Access Provider</w:t>
      </w:r>
      <w:r w:rsidRPr="00CE2C7C">
        <w:rPr>
          <w:rFonts w:cs="Arial"/>
          <w:lang w:val="en-US"/>
        </w:rPr>
        <w:t>.</w:t>
      </w:r>
    </w:p>
    <w:p w:rsidR="00CE2C7C" w:rsidRPr="00CE2C7C" w:rsidRDefault="00CE2C7C" w:rsidP="00CE2C7C">
      <w:pPr>
        <w:pStyle w:val="ListParagraph"/>
        <w:keepNext/>
        <w:numPr>
          <w:ilvl w:val="0"/>
          <w:numId w:val="3"/>
        </w:numPr>
        <w:tabs>
          <w:tab w:val="clear" w:pos="357"/>
          <w:tab w:val="clear" w:pos="720"/>
          <w:tab w:val="num" w:pos="576"/>
        </w:tabs>
        <w:snapToGrid/>
        <w:spacing w:after="120" w:line="360" w:lineRule="auto"/>
        <w:ind w:left="576" w:right="432" w:hanging="576"/>
        <w:contextualSpacing w:val="0"/>
        <w:jc w:val="both"/>
        <w:outlineLvl w:val="1"/>
        <w:rPr>
          <w:rFonts w:cs="Arial"/>
          <w:lang w:eastAsia="en-US"/>
        </w:rPr>
      </w:pPr>
      <w:r w:rsidRPr="00CE2C7C">
        <w:rPr>
          <w:rFonts w:cs="Arial"/>
          <w:lang w:val="en-US"/>
        </w:rPr>
        <w:t>This Annex is structured containing Sub Annexes. Each Sub Annex contains a service or group of linked services.</w:t>
      </w:r>
    </w:p>
    <w:p w:rsidR="00CE2C7C" w:rsidRPr="00CE2C7C" w:rsidRDefault="00CE2C7C" w:rsidP="00F70E2E">
      <w:pPr>
        <w:pStyle w:val="ListParagraph"/>
        <w:keepNext/>
        <w:numPr>
          <w:ilvl w:val="0"/>
          <w:numId w:val="3"/>
        </w:numPr>
        <w:tabs>
          <w:tab w:val="clear" w:pos="357"/>
          <w:tab w:val="clear" w:pos="720"/>
          <w:tab w:val="num" w:pos="576"/>
        </w:tabs>
        <w:snapToGrid/>
        <w:spacing w:after="120" w:line="360" w:lineRule="auto"/>
        <w:ind w:left="576" w:right="432" w:hanging="576"/>
        <w:contextualSpacing w:val="0"/>
        <w:jc w:val="both"/>
        <w:outlineLvl w:val="1"/>
        <w:rPr>
          <w:rFonts w:cs="Arial"/>
          <w:lang w:eastAsia="en-US"/>
        </w:rPr>
      </w:pPr>
      <w:r w:rsidRPr="00CE2C7C">
        <w:rPr>
          <w:rFonts w:cs="Arial"/>
          <w:lang w:val="en-US"/>
        </w:rPr>
        <w:t xml:space="preserve">The Services listed in Clause </w:t>
      </w:r>
      <w:r w:rsidR="00F70E2E">
        <w:rPr>
          <w:rFonts w:cs="Arial"/>
          <w:lang w:val="en-US"/>
        </w:rPr>
        <w:t xml:space="preserve">2 </w:t>
      </w:r>
      <w:r w:rsidRPr="00CE2C7C">
        <w:rPr>
          <w:rFonts w:cs="Arial"/>
          <w:lang w:val="en-US"/>
        </w:rPr>
        <w:t>below and covered under this Agreement are subject to feasibility and availability, taking into consideration the following:</w:t>
      </w:r>
    </w:p>
    <w:p w:rsidR="00CE2C7C" w:rsidRDefault="00507B4D" w:rsidP="00F70E2E">
      <w:pPr>
        <w:numPr>
          <w:ilvl w:val="0"/>
          <w:numId w:val="8"/>
        </w:numPr>
        <w:tabs>
          <w:tab w:val="clear" w:pos="357"/>
          <w:tab w:val="clear" w:pos="720"/>
        </w:tabs>
        <w:snapToGrid/>
        <w:spacing w:after="120" w:line="360" w:lineRule="auto"/>
        <w:ind w:right="432"/>
        <w:jc w:val="lowKashida"/>
        <w:outlineLvl w:val="1"/>
        <w:rPr>
          <w:rFonts w:cs="Arial"/>
          <w:lang w:val="en-US"/>
        </w:rPr>
      </w:pPr>
      <w:r>
        <w:rPr>
          <w:rFonts w:cs="Arial"/>
          <w:lang w:val="en-US"/>
        </w:rPr>
        <w:t>Access Provider</w:t>
      </w:r>
      <w:r w:rsidR="00393914">
        <w:rPr>
          <w:rFonts w:cs="Arial"/>
          <w:lang w:val="en-US"/>
        </w:rPr>
        <w:t>’s</w:t>
      </w:r>
      <w:r w:rsidR="00CE2C7C" w:rsidRPr="00CE2C7C">
        <w:rPr>
          <w:rFonts w:cs="Arial"/>
          <w:lang w:val="en-US"/>
        </w:rPr>
        <w:t xml:space="preserve"> anticipated requirements for the next </w:t>
      </w:r>
      <w:r w:rsidR="00F70E2E">
        <w:rPr>
          <w:rFonts w:cs="Arial"/>
          <w:lang w:val="en-US"/>
        </w:rPr>
        <w:t>three</w:t>
      </w:r>
      <w:r w:rsidR="00F70E2E" w:rsidRPr="00CE2C7C">
        <w:rPr>
          <w:rFonts w:cs="Arial"/>
          <w:lang w:val="en-US"/>
        </w:rPr>
        <w:t xml:space="preserve"> </w:t>
      </w:r>
      <w:r w:rsidR="00CE2C7C" w:rsidRPr="00CE2C7C">
        <w:rPr>
          <w:rFonts w:cs="Arial"/>
          <w:lang w:val="en-US"/>
        </w:rPr>
        <w:t>(</w:t>
      </w:r>
      <w:r w:rsidR="00F70E2E">
        <w:rPr>
          <w:rFonts w:cs="Arial"/>
          <w:lang w:val="en-US"/>
        </w:rPr>
        <w:t>3</w:t>
      </w:r>
      <w:r w:rsidR="00CE2C7C" w:rsidRPr="00CE2C7C">
        <w:rPr>
          <w:rFonts w:cs="Arial"/>
          <w:lang w:val="en-US"/>
        </w:rPr>
        <w:t>) years;</w:t>
      </w:r>
    </w:p>
    <w:p w:rsidR="00CE2C7C" w:rsidRDefault="00CE2C7C" w:rsidP="00272C7C">
      <w:pPr>
        <w:numPr>
          <w:ilvl w:val="0"/>
          <w:numId w:val="8"/>
        </w:numPr>
        <w:tabs>
          <w:tab w:val="clear" w:pos="357"/>
          <w:tab w:val="clear" w:pos="720"/>
        </w:tabs>
        <w:snapToGrid/>
        <w:spacing w:after="120" w:line="360" w:lineRule="auto"/>
        <w:ind w:right="432"/>
        <w:jc w:val="lowKashida"/>
        <w:outlineLvl w:val="1"/>
        <w:rPr>
          <w:rFonts w:cs="Arial"/>
          <w:lang w:val="en-US"/>
        </w:rPr>
      </w:pPr>
      <w:r w:rsidRPr="00CE2C7C">
        <w:rPr>
          <w:rFonts w:cs="Arial"/>
          <w:lang w:val="en-US"/>
        </w:rPr>
        <w:t xml:space="preserve">Security and confidentiality requirements or restrictions imposed on </w:t>
      </w:r>
      <w:r w:rsidR="00507B4D">
        <w:rPr>
          <w:rFonts w:cs="Arial"/>
          <w:lang w:val="en-US"/>
        </w:rPr>
        <w:t>Access Provider</w:t>
      </w:r>
      <w:r w:rsidRPr="00CE2C7C">
        <w:rPr>
          <w:rFonts w:cs="Arial"/>
          <w:lang w:val="en-US"/>
        </w:rPr>
        <w:t xml:space="preserve"> by </w:t>
      </w:r>
      <w:r w:rsidR="00272C7C">
        <w:rPr>
          <w:rFonts w:cs="Arial"/>
          <w:lang w:val="en-US"/>
        </w:rPr>
        <w:t>governmental bodies in the Sultanate of Oman</w:t>
      </w:r>
      <w:r w:rsidRPr="00CE2C7C">
        <w:rPr>
          <w:rFonts w:cs="Arial"/>
          <w:lang w:val="en-US"/>
        </w:rPr>
        <w:t>; or</w:t>
      </w:r>
    </w:p>
    <w:p w:rsidR="00CE2C7C" w:rsidRPr="00CE2C7C" w:rsidRDefault="00CE2C7C" w:rsidP="00BF2C30">
      <w:pPr>
        <w:numPr>
          <w:ilvl w:val="0"/>
          <w:numId w:val="8"/>
        </w:numPr>
        <w:tabs>
          <w:tab w:val="clear" w:pos="357"/>
          <w:tab w:val="clear" w:pos="720"/>
        </w:tabs>
        <w:snapToGrid/>
        <w:spacing w:after="120" w:line="360" w:lineRule="auto"/>
        <w:ind w:right="432"/>
        <w:jc w:val="lowKashida"/>
        <w:outlineLvl w:val="1"/>
        <w:rPr>
          <w:rFonts w:cs="Arial"/>
          <w:lang w:val="en-US"/>
        </w:rPr>
      </w:pPr>
      <w:r w:rsidRPr="00CE2C7C">
        <w:rPr>
          <w:rFonts w:cs="Arial"/>
          <w:lang w:val="en-US"/>
        </w:rPr>
        <w:t xml:space="preserve">In case </w:t>
      </w:r>
      <w:r w:rsidR="00F70E2E">
        <w:rPr>
          <w:rFonts w:cs="Arial"/>
          <w:lang w:val="en-US"/>
        </w:rPr>
        <w:t xml:space="preserve">the </w:t>
      </w:r>
      <w:r w:rsidR="00507B4D">
        <w:rPr>
          <w:rFonts w:cs="Arial"/>
          <w:lang w:val="en-US"/>
        </w:rPr>
        <w:t>Access Provider</w:t>
      </w:r>
      <w:r w:rsidRPr="00CE2C7C">
        <w:rPr>
          <w:rFonts w:cs="Arial"/>
          <w:lang w:val="en-US"/>
        </w:rPr>
        <w:t xml:space="preserve"> plans to decommission the requested Service within three (3) years from the date of the request.</w:t>
      </w:r>
      <w:r w:rsidR="00F70E2E">
        <w:rPr>
          <w:rFonts w:cs="Arial"/>
          <w:lang w:val="en-US"/>
        </w:rPr>
        <w:t xml:space="preserve"> For the avoidance of doubt in such cases the Access Seeker shall be notified of the proposed decommissioning date and may proceed with its order. </w:t>
      </w:r>
      <w:proofErr w:type="gramStart"/>
      <w:r w:rsidR="00F70E2E">
        <w:rPr>
          <w:rFonts w:cs="Arial"/>
          <w:lang w:val="en-US"/>
        </w:rPr>
        <w:t>However</w:t>
      </w:r>
      <w:proofErr w:type="gramEnd"/>
      <w:r w:rsidR="00F70E2E">
        <w:rPr>
          <w:rFonts w:cs="Arial"/>
          <w:lang w:val="en-US"/>
        </w:rPr>
        <w:t xml:space="preserve"> it shall confirm in writing to the Access Provider that it has aware of the decommissioning date and that it will be required to vacate the relevant place or that the service may be terminated at that time and shall do so, without any delay on notice being served on it by the Access Provider.</w:t>
      </w:r>
    </w:p>
    <w:p w:rsidR="00CE2C7C" w:rsidRPr="00CE2C7C" w:rsidRDefault="00CE2C7C" w:rsidP="00CE2C7C">
      <w:pPr>
        <w:pStyle w:val="ListParagraph"/>
        <w:keepNext/>
        <w:numPr>
          <w:ilvl w:val="0"/>
          <w:numId w:val="3"/>
        </w:numPr>
        <w:tabs>
          <w:tab w:val="clear" w:pos="357"/>
          <w:tab w:val="clear" w:pos="720"/>
          <w:tab w:val="num" w:pos="576"/>
        </w:tabs>
        <w:snapToGrid/>
        <w:spacing w:after="120" w:line="360" w:lineRule="auto"/>
        <w:ind w:left="576" w:right="432" w:hanging="576"/>
        <w:contextualSpacing w:val="0"/>
        <w:jc w:val="both"/>
        <w:outlineLvl w:val="1"/>
        <w:rPr>
          <w:rFonts w:cs="Arial"/>
          <w:lang w:val="en-US"/>
        </w:rPr>
      </w:pPr>
      <w:r w:rsidRPr="00CE2C7C">
        <w:rPr>
          <w:rFonts w:cs="Arial"/>
          <w:lang w:val="en-US"/>
        </w:rPr>
        <w:t xml:space="preserve">If any Service requires any Ancillary Services or </w:t>
      </w:r>
      <w:r w:rsidR="00B81CC6">
        <w:rPr>
          <w:rFonts w:cs="Arial"/>
          <w:lang w:val="en-US"/>
        </w:rPr>
        <w:t xml:space="preserve">other </w:t>
      </w:r>
      <w:r w:rsidRPr="00CE2C7C">
        <w:rPr>
          <w:rFonts w:cs="Arial"/>
          <w:lang w:val="en-US"/>
        </w:rPr>
        <w:t xml:space="preserve">Services to complete the required setup of the respective Service, then such Ancillary Service or </w:t>
      </w:r>
      <w:r w:rsidR="00B81CC6">
        <w:rPr>
          <w:rFonts w:cs="Arial"/>
          <w:lang w:val="en-US"/>
        </w:rPr>
        <w:t xml:space="preserve">other </w:t>
      </w:r>
      <w:r w:rsidRPr="00CE2C7C">
        <w:rPr>
          <w:rFonts w:cs="Arial"/>
          <w:lang w:val="en-US"/>
        </w:rPr>
        <w:t xml:space="preserve">Services shall be ordered separately. </w:t>
      </w:r>
    </w:p>
    <w:p w:rsidR="00CE2C7C" w:rsidRPr="00CE2C7C" w:rsidRDefault="00CE2C7C" w:rsidP="00B10AD5">
      <w:pPr>
        <w:pStyle w:val="ListParagraph"/>
        <w:keepNext/>
        <w:numPr>
          <w:ilvl w:val="0"/>
          <w:numId w:val="3"/>
        </w:numPr>
        <w:tabs>
          <w:tab w:val="clear" w:pos="357"/>
          <w:tab w:val="clear" w:pos="720"/>
          <w:tab w:val="num" w:pos="576"/>
        </w:tabs>
        <w:snapToGrid/>
        <w:spacing w:after="120" w:line="360" w:lineRule="auto"/>
        <w:ind w:left="576" w:right="432" w:hanging="576"/>
        <w:contextualSpacing w:val="0"/>
        <w:jc w:val="both"/>
        <w:outlineLvl w:val="1"/>
        <w:rPr>
          <w:rFonts w:cs="Arial"/>
          <w:lang w:val="en-US"/>
        </w:rPr>
      </w:pPr>
      <w:r w:rsidRPr="00CE2C7C">
        <w:rPr>
          <w:rFonts w:cs="Arial"/>
          <w:lang w:val="en-US"/>
        </w:rPr>
        <w:t xml:space="preserve">The Services listed in Clause </w:t>
      </w:r>
      <w:r w:rsidR="00B10AD5">
        <w:rPr>
          <w:rFonts w:cs="Arial"/>
          <w:lang w:val="en-US"/>
        </w:rPr>
        <w:t xml:space="preserve">2 </w:t>
      </w:r>
      <w:r w:rsidRPr="00CE2C7C">
        <w:rPr>
          <w:rFonts w:cs="Arial"/>
          <w:lang w:val="en-US"/>
        </w:rPr>
        <w:t>below are as defined in the Access and Interconnection (A&amp;I) Regulation issued by the TRA on the 16</w:t>
      </w:r>
      <w:r w:rsidRPr="00CE2C7C">
        <w:rPr>
          <w:rFonts w:cs="Arial"/>
          <w:vertAlign w:val="superscript"/>
          <w:lang w:val="en-US"/>
        </w:rPr>
        <w:t>th</w:t>
      </w:r>
      <w:r w:rsidRPr="00CE2C7C">
        <w:rPr>
          <w:rFonts w:cs="Arial"/>
          <w:lang w:val="en-US"/>
        </w:rPr>
        <w:t xml:space="preserve"> of April 2016. This list is subject to revision in case </w:t>
      </w:r>
      <w:r w:rsidR="006471A1">
        <w:rPr>
          <w:rFonts w:cs="Arial"/>
          <w:lang w:val="en-US"/>
        </w:rPr>
        <w:t xml:space="preserve">any </w:t>
      </w:r>
      <w:r w:rsidRPr="00CE2C7C">
        <w:rPr>
          <w:rFonts w:cs="Arial"/>
          <w:lang w:val="en-US"/>
        </w:rPr>
        <w:t>new A&amp;I Service is</w:t>
      </w:r>
      <w:r w:rsidR="006471A1">
        <w:rPr>
          <w:rFonts w:cs="Arial"/>
          <w:lang w:val="en-US"/>
        </w:rPr>
        <w:t xml:space="preserve"> added in the R</w:t>
      </w:r>
      <w:r w:rsidRPr="00CE2C7C">
        <w:rPr>
          <w:rFonts w:cs="Arial"/>
          <w:lang w:val="en-US"/>
        </w:rPr>
        <w:t xml:space="preserve">egulation. Any new regulated A&amp;I Service has a regulatory process which includes but not limited to service definition, description and sector consultation initiated and finalized by the TRA. After this process and based on the TRA direction, </w:t>
      </w:r>
      <w:r w:rsidR="00507B4D">
        <w:rPr>
          <w:rFonts w:cs="Arial"/>
          <w:lang w:val="en-US"/>
        </w:rPr>
        <w:t>Access Provider</w:t>
      </w:r>
      <w:r w:rsidRPr="00CE2C7C">
        <w:rPr>
          <w:rFonts w:cs="Arial"/>
          <w:lang w:val="en-US"/>
        </w:rPr>
        <w:t xml:space="preserve"> will draft a separate Sub Annex which includes the service description, terms and conditions, ordering process, termination, forecast, tariff and delivery timelines.</w:t>
      </w:r>
    </w:p>
    <w:p w:rsidR="008E3685" w:rsidRPr="008E3685" w:rsidRDefault="008E3685" w:rsidP="008E3685">
      <w:pPr>
        <w:snapToGrid/>
        <w:spacing w:line="240" w:lineRule="auto"/>
        <w:rPr>
          <w:rFonts w:cs="Arial"/>
          <w:sz w:val="22"/>
          <w:szCs w:val="22"/>
        </w:rPr>
      </w:pPr>
      <w:bookmarkStart w:id="3" w:name="_GoBack"/>
      <w:bookmarkEnd w:id="3"/>
    </w:p>
    <w:p w:rsidR="008E3685" w:rsidRPr="008E3685" w:rsidRDefault="00C63910" w:rsidP="00A45F23">
      <w:pPr>
        <w:pStyle w:val="Style1"/>
        <w:tabs>
          <w:tab w:val="left" w:pos="8910"/>
        </w:tabs>
        <w:ind w:right="0"/>
      </w:pPr>
      <w:bookmarkStart w:id="4" w:name="_Toc505094877"/>
      <w:r>
        <w:lastRenderedPageBreak/>
        <w:t>The Services</w:t>
      </w:r>
      <w:bookmarkEnd w:id="4"/>
    </w:p>
    <w:tbl>
      <w:tblPr>
        <w:tblStyle w:val="TableGridLight1"/>
        <w:tblW w:w="9540" w:type="dxa"/>
        <w:tblInd w:w="-95" w:type="dxa"/>
        <w:tblLayout w:type="fixed"/>
        <w:tblLook w:val="04A0" w:firstRow="1" w:lastRow="0" w:firstColumn="1" w:lastColumn="0" w:noHBand="0" w:noVBand="1"/>
      </w:tblPr>
      <w:tblGrid>
        <w:gridCol w:w="1800"/>
        <w:gridCol w:w="6120"/>
        <w:gridCol w:w="1620"/>
      </w:tblGrid>
      <w:tr w:rsidR="00A45F23" w:rsidRPr="00CB1B98" w:rsidTr="00507B4D">
        <w:trPr>
          <w:trHeight w:val="571"/>
          <w:tblHeader/>
        </w:trPr>
        <w:tc>
          <w:tcPr>
            <w:tcW w:w="1800" w:type="dxa"/>
            <w:shd w:val="clear" w:color="auto" w:fill="C00000"/>
            <w:vAlign w:val="center"/>
          </w:tcPr>
          <w:p w:rsidR="00A45F23" w:rsidRPr="00CB1B98" w:rsidRDefault="00A45F23" w:rsidP="00380CE6">
            <w:pPr>
              <w:pStyle w:val="Table"/>
              <w:rPr>
                <w:b/>
                <w:bCs/>
                <w:color w:val="FFFFFF" w:themeColor="background1"/>
                <w:sz w:val="22"/>
                <w:szCs w:val="22"/>
              </w:rPr>
            </w:pPr>
            <w:r>
              <w:rPr>
                <w:b/>
                <w:bCs/>
                <w:color w:val="FFFFFF" w:themeColor="background1"/>
                <w:sz w:val="22"/>
                <w:szCs w:val="22"/>
              </w:rPr>
              <w:t>Sub A</w:t>
            </w:r>
            <w:r w:rsidRPr="00CB1B98">
              <w:rPr>
                <w:b/>
                <w:bCs/>
                <w:color w:val="FFFFFF" w:themeColor="background1"/>
                <w:sz w:val="22"/>
                <w:szCs w:val="22"/>
              </w:rPr>
              <w:t>nnex</w:t>
            </w:r>
          </w:p>
        </w:tc>
        <w:tc>
          <w:tcPr>
            <w:tcW w:w="6120" w:type="dxa"/>
            <w:shd w:val="clear" w:color="auto" w:fill="C00000"/>
            <w:vAlign w:val="center"/>
          </w:tcPr>
          <w:p w:rsidR="00A45F23" w:rsidRPr="00CB1B98" w:rsidRDefault="00A45F23" w:rsidP="00380CE6">
            <w:pPr>
              <w:pStyle w:val="Table"/>
              <w:rPr>
                <w:b/>
                <w:bCs/>
                <w:color w:val="FFFFFF" w:themeColor="background1"/>
                <w:sz w:val="22"/>
                <w:szCs w:val="22"/>
              </w:rPr>
            </w:pPr>
            <w:r w:rsidRPr="00CB1B98">
              <w:rPr>
                <w:b/>
                <w:bCs/>
                <w:color w:val="FFFFFF" w:themeColor="background1"/>
                <w:sz w:val="22"/>
                <w:szCs w:val="22"/>
              </w:rPr>
              <w:t>Service</w:t>
            </w:r>
          </w:p>
        </w:tc>
        <w:tc>
          <w:tcPr>
            <w:tcW w:w="1620" w:type="dxa"/>
            <w:shd w:val="clear" w:color="auto" w:fill="C00000"/>
            <w:vAlign w:val="center"/>
          </w:tcPr>
          <w:p w:rsidR="00A45F23" w:rsidRPr="00CB1B98" w:rsidRDefault="00A45F23" w:rsidP="00380CE6">
            <w:pPr>
              <w:pStyle w:val="Table"/>
              <w:rPr>
                <w:b/>
                <w:bCs/>
                <w:color w:val="FFFFFF" w:themeColor="background1"/>
                <w:sz w:val="22"/>
                <w:szCs w:val="22"/>
              </w:rPr>
            </w:pPr>
            <w:r w:rsidRPr="00CB1B98">
              <w:rPr>
                <w:b/>
                <w:bCs/>
                <w:color w:val="FFFFFF" w:themeColor="background1"/>
                <w:sz w:val="22"/>
                <w:szCs w:val="22"/>
              </w:rPr>
              <w:t>Version</w:t>
            </w:r>
          </w:p>
        </w:tc>
      </w:tr>
      <w:tr w:rsidR="00A45F23" w:rsidRPr="00CB1B98" w:rsidTr="00E600D0">
        <w:trPr>
          <w:trHeight w:val="535"/>
        </w:trPr>
        <w:tc>
          <w:tcPr>
            <w:tcW w:w="1800" w:type="dxa"/>
            <w:vAlign w:val="center"/>
          </w:tcPr>
          <w:p w:rsidR="00A45F23" w:rsidRPr="00CB1B98" w:rsidRDefault="00E600D0" w:rsidP="00380CE6">
            <w:pPr>
              <w:pStyle w:val="Table"/>
              <w:jc w:val="left"/>
              <w:rPr>
                <w:sz w:val="22"/>
                <w:szCs w:val="22"/>
              </w:rPr>
            </w:pPr>
            <w:r>
              <w:rPr>
                <w:sz w:val="22"/>
                <w:szCs w:val="22"/>
              </w:rPr>
              <w:t>B-1</w:t>
            </w:r>
          </w:p>
        </w:tc>
        <w:tc>
          <w:tcPr>
            <w:tcW w:w="6120" w:type="dxa"/>
            <w:vAlign w:val="center"/>
          </w:tcPr>
          <w:p w:rsidR="00A45F23" w:rsidRPr="00A76573" w:rsidRDefault="00AB3AEE" w:rsidP="00380CE6">
            <w:pPr>
              <w:pStyle w:val="Table"/>
              <w:jc w:val="left"/>
              <w:rPr>
                <w:sz w:val="22"/>
                <w:szCs w:val="22"/>
              </w:rPr>
            </w:pPr>
            <w:r>
              <w:rPr>
                <w:sz w:val="22"/>
                <w:szCs w:val="22"/>
              </w:rPr>
              <w:t>Fixed Call Termination</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E600D0" w:rsidP="00380CE6">
            <w:pPr>
              <w:pStyle w:val="Table"/>
              <w:jc w:val="left"/>
              <w:rPr>
                <w:sz w:val="22"/>
                <w:szCs w:val="22"/>
              </w:rPr>
            </w:pPr>
            <w:r>
              <w:rPr>
                <w:sz w:val="22"/>
                <w:szCs w:val="22"/>
              </w:rPr>
              <w:t>B-2</w:t>
            </w:r>
          </w:p>
        </w:tc>
        <w:tc>
          <w:tcPr>
            <w:tcW w:w="6120" w:type="dxa"/>
            <w:vAlign w:val="center"/>
          </w:tcPr>
          <w:p w:rsidR="00A45F23" w:rsidRPr="00A76573" w:rsidRDefault="00AB3AEE" w:rsidP="00380CE6">
            <w:pPr>
              <w:pStyle w:val="Table"/>
              <w:jc w:val="left"/>
              <w:rPr>
                <w:sz w:val="22"/>
                <w:szCs w:val="22"/>
              </w:rPr>
            </w:pPr>
            <w:r>
              <w:rPr>
                <w:sz w:val="22"/>
                <w:szCs w:val="22"/>
              </w:rPr>
              <w:t>Fixed Call Transit</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E600D0" w:rsidP="00E600D0">
            <w:pPr>
              <w:pStyle w:val="Table"/>
              <w:jc w:val="left"/>
              <w:rPr>
                <w:sz w:val="22"/>
                <w:szCs w:val="22"/>
              </w:rPr>
            </w:pPr>
            <w:r>
              <w:rPr>
                <w:sz w:val="22"/>
                <w:szCs w:val="22"/>
              </w:rPr>
              <w:t>B-3</w:t>
            </w:r>
          </w:p>
        </w:tc>
        <w:tc>
          <w:tcPr>
            <w:tcW w:w="6120" w:type="dxa"/>
            <w:vAlign w:val="center"/>
          </w:tcPr>
          <w:p w:rsidR="00A45F23" w:rsidRPr="00A76573" w:rsidRDefault="00AB3AEE" w:rsidP="00380CE6">
            <w:pPr>
              <w:pStyle w:val="Table"/>
              <w:jc w:val="left"/>
              <w:rPr>
                <w:sz w:val="22"/>
                <w:szCs w:val="22"/>
              </w:rPr>
            </w:pPr>
            <w:r>
              <w:rPr>
                <w:sz w:val="22"/>
                <w:szCs w:val="22"/>
              </w:rPr>
              <w:t>Mobile Call Termination</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E600D0" w:rsidP="00380CE6">
            <w:pPr>
              <w:pStyle w:val="Table"/>
              <w:jc w:val="left"/>
              <w:rPr>
                <w:sz w:val="22"/>
                <w:szCs w:val="22"/>
              </w:rPr>
            </w:pPr>
            <w:r>
              <w:rPr>
                <w:sz w:val="22"/>
                <w:szCs w:val="22"/>
              </w:rPr>
              <w:t>B-4.1</w:t>
            </w:r>
          </w:p>
        </w:tc>
        <w:tc>
          <w:tcPr>
            <w:tcW w:w="6120" w:type="dxa"/>
            <w:vAlign w:val="center"/>
          </w:tcPr>
          <w:p w:rsidR="00A45F23" w:rsidRPr="00A76573" w:rsidRDefault="00AB3AEE" w:rsidP="00AB3AEE">
            <w:pPr>
              <w:pStyle w:val="Table"/>
              <w:jc w:val="left"/>
              <w:rPr>
                <w:sz w:val="22"/>
                <w:szCs w:val="22"/>
              </w:rPr>
            </w:pPr>
            <w:r>
              <w:rPr>
                <w:sz w:val="22"/>
                <w:szCs w:val="22"/>
              </w:rPr>
              <w:t>Call by Call Carrier Selection</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E600D0" w:rsidP="00380CE6">
            <w:pPr>
              <w:pStyle w:val="Table"/>
              <w:jc w:val="left"/>
              <w:rPr>
                <w:sz w:val="22"/>
                <w:szCs w:val="22"/>
              </w:rPr>
            </w:pPr>
            <w:r>
              <w:rPr>
                <w:sz w:val="22"/>
                <w:szCs w:val="22"/>
              </w:rPr>
              <w:t>B-4.2</w:t>
            </w:r>
          </w:p>
        </w:tc>
        <w:tc>
          <w:tcPr>
            <w:tcW w:w="6120" w:type="dxa"/>
            <w:vAlign w:val="center"/>
          </w:tcPr>
          <w:p w:rsidR="00A45F23" w:rsidRPr="00A76573" w:rsidRDefault="00AB3AEE" w:rsidP="00380CE6">
            <w:pPr>
              <w:pStyle w:val="Table"/>
              <w:jc w:val="left"/>
              <w:rPr>
                <w:sz w:val="22"/>
                <w:szCs w:val="22"/>
              </w:rPr>
            </w:pPr>
            <w:r>
              <w:rPr>
                <w:sz w:val="22"/>
                <w:szCs w:val="22"/>
              </w:rPr>
              <w:t>Carrier Pre-Selection</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E600D0" w:rsidP="00380CE6">
            <w:pPr>
              <w:pStyle w:val="Table"/>
              <w:jc w:val="left"/>
              <w:rPr>
                <w:sz w:val="22"/>
                <w:szCs w:val="22"/>
              </w:rPr>
            </w:pPr>
            <w:r>
              <w:rPr>
                <w:sz w:val="22"/>
                <w:szCs w:val="22"/>
              </w:rPr>
              <w:t>B-5.1</w:t>
            </w:r>
          </w:p>
        </w:tc>
        <w:tc>
          <w:tcPr>
            <w:tcW w:w="6120" w:type="dxa"/>
            <w:vAlign w:val="center"/>
          </w:tcPr>
          <w:p w:rsidR="00A45F23" w:rsidRPr="00A76573" w:rsidRDefault="00AB3AEE" w:rsidP="00380CE6">
            <w:pPr>
              <w:pStyle w:val="Table"/>
              <w:jc w:val="left"/>
              <w:rPr>
                <w:sz w:val="22"/>
                <w:szCs w:val="22"/>
              </w:rPr>
            </w:pPr>
            <w:r>
              <w:rPr>
                <w:sz w:val="22"/>
                <w:szCs w:val="22"/>
              </w:rPr>
              <w:t>Wholesale Broadband – Wholesale Line Rental</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E600D0" w:rsidP="00380CE6">
            <w:pPr>
              <w:pStyle w:val="Table"/>
              <w:jc w:val="left"/>
              <w:rPr>
                <w:sz w:val="22"/>
                <w:szCs w:val="22"/>
              </w:rPr>
            </w:pPr>
            <w:r>
              <w:rPr>
                <w:sz w:val="22"/>
                <w:szCs w:val="22"/>
              </w:rPr>
              <w:t>B-5.2</w:t>
            </w:r>
          </w:p>
        </w:tc>
        <w:tc>
          <w:tcPr>
            <w:tcW w:w="6120" w:type="dxa"/>
            <w:vAlign w:val="center"/>
          </w:tcPr>
          <w:p w:rsidR="00A45F23" w:rsidRPr="00A76573" w:rsidRDefault="00AB3AEE" w:rsidP="00380CE6">
            <w:pPr>
              <w:pStyle w:val="Table"/>
              <w:jc w:val="left"/>
              <w:rPr>
                <w:sz w:val="22"/>
                <w:szCs w:val="22"/>
              </w:rPr>
            </w:pPr>
            <w:r>
              <w:rPr>
                <w:sz w:val="22"/>
                <w:szCs w:val="22"/>
              </w:rPr>
              <w:t xml:space="preserve">Wholesale Broadband - </w:t>
            </w:r>
            <w:proofErr w:type="spellStart"/>
            <w:r w:rsidR="00A45F23" w:rsidRPr="00D971D8">
              <w:rPr>
                <w:sz w:val="22"/>
                <w:szCs w:val="22"/>
              </w:rPr>
              <w:t>Bitstream</w:t>
            </w:r>
            <w:proofErr w:type="spellEnd"/>
            <w:r w:rsidR="00A45F23" w:rsidRPr="00D971D8">
              <w:rPr>
                <w:sz w:val="22"/>
                <w:szCs w:val="22"/>
              </w:rPr>
              <w:t xml:space="preserve"> </w:t>
            </w:r>
            <w:r>
              <w:rPr>
                <w:sz w:val="22"/>
                <w:szCs w:val="22"/>
              </w:rPr>
              <w:t xml:space="preserve">Layer 2 and </w:t>
            </w:r>
            <w:r w:rsidR="00A45F23" w:rsidRPr="00D971D8">
              <w:rPr>
                <w:sz w:val="22"/>
                <w:szCs w:val="22"/>
              </w:rPr>
              <w:t>Layer 3</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E600D0" w:rsidP="00380CE6">
            <w:pPr>
              <w:pStyle w:val="Table"/>
              <w:jc w:val="left"/>
              <w:rPr>
                <w:sz w:val="22"/>
                <w:szCs w:val="22"/>
              </w:rPr>
            </w:pPr>
            <w:r>
              <w:rPr>
                <w:sz w:val="22"/>
                <w:szCs w:val="22"/>
              </w:rPr>
              <w:t>B-5.3</w:t>
            </w:r>
          </w:p>
        </w:tc>
        <w:tc>
          <w:tcPr>
            <w:tcW w:w="6120" w:type="dxa"/>
            <w:vAlign w:val="center"/>
          </w:tcPr>
          <w:p w:rsidR="00A45F23" w:rsidRPr="00A76573" w:rsidRDefault="00AB3AEE" w:rsidP="00380CE6">
            <w:pPr>
              <w:pStyle w:val="Table"/>
              <w:jc w:val="left"/>
              <w:rPr>
                <w:sz w:val="22"/>
                <w:szCs w:val="22"/>
              </w:rPr>
            </w:pPr>
            <w:r>
              <w:rPr>
                <w:sz w:val="22"/>
                <w:szCs w:val="22"/>
              </w:rPr>
              <w:t xml:space="preserve">Wholesale Broadband - </w:t>
            </w:r>
            <w:r w:rsidR="00A45F23" w:rsidRPr="00D971D8">
              <w:rPr>
                <w:sz w:val="22"/>
                <w:szCs w:val="22"/>
              </w:rPr>
              <w:t>Wholesale Transmission</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E600D0" w:rsidP="00380CE6">
            <w:pPr>
              <w:pStyle w:val="Table"/>
              <w:jc w:val="left"/>
              <w:rPr>
                <w:sz w:val="22"/>
                <w:szCs w:val="22"/>
              </w:rPr>
            </w:pPr>
            <w:r>
              <w:rPr>
                <w:sz w:val="22"/>
                <w:szCs w:val="22"/>
              </w:rPr>
              <w:t>B-5.4</w:t>
            </w:r>
          </w:p>
        </w:tc>
        <w:tc>
          <w:tcPr>
            <w:tcW w:w="6120" w:type="dxa"/>
            <w:vAlign w:val="center"/>
          </w:tcPr>
          <w:p w:rsidR="00A45F23" w:rsidRPr="00A76573" w:rsidRDefault="00AB3AEE" w:rsidP="00380CE6">
            <w:pPr>
              <w:pStyle w:val="Table"/>
              <w:jc w:val="left"/>
              <w:rPr>
                <w:sz w:val="22"/>
                <w:szCs w:val="22"/>
              </w:rPr>
            </w:pPr>
            <w:r>
              <w:rPr>
                <w:sz w:val="22"/>
                <w:szCs w:val="22"/>
              </w:rPr>
              <w:t xml:space="preserve">Wholesale Broadband - </w:t>
            </w:r>
            <w:r w:rsidR="00A45F23" w:rsidRPr="00D971D8">
              <w:rPr>
                <w:sz w:val="22"/>
                <w:szCs w:val="22"/>
              </w:rPr>
              <w:t>Broadband Resale Service</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E600D0" w:rsidP="00380CE6">
            <w:pPr>
              <w:pStyle w:val="Table"/>
              <w:jc w:val="left"/>
              <w:rPr>
                <w:sz w:val="22"/>
                <w:szCs w:val="22"/>
              </w:rPr>
            </w:pPr>
            <w:r>
              <w:rPr>
                <w:sz w:val="22"/>
                <w:szCs w:val="22"/>
              </w:rPr>
              <w:t>B-6</w:t>
            </w:r>
          </w:p>
        </w:tc>
        <w:tc>
          <w:tcPr>
            <w:tcW w:w="6120" w:type="dxa"/>
            <w:vAlign w:val="center"/>
          </w:tcPr>
          <w:p w:rsidR="00A45F23" w:rsidRPr="00A76573" w:rsidRDefault="00AB3AEE" w:rsidP="00AB3AEE">
            <w:pPr>
              <w:pStyle w:val="Table"/>
              <w:jc w:val="left"/>
              <w:rPr>
                <w:sz w:val="22"/>
                <w:szCs w:val="22"/>
              </w:rPr>
            </w:pPr>
            <w:r w:rsidRPr="00D971D8">
              <w:rPr>
                <w:sz w:val="22"/>
                <w:szCs w:val="22"/>
              </w:rPr>
              <w:t xml:space="preserve">Wholesale Trunk Segments of Leased Lines </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E600D0" w:rsidP="00380CE6">
            <w:pPr>
              <w:pStyle w:val="Table"/>
              <w:jc w:val="left"/>
              <w:rPr>
                <w:sz w:val="22"/>
                <w:szCs w:val="22"/>
              </w:rPr>
            </w:pPr>
            <w:r>
              <w:rPr>
                <w:sz w:val="22"/>
                <w:szCs w:val="22"/>
              </w:rPr>
              <w:t>B-7</w:t>
            </w:r>
          </w:p>
        </w:tc>
        <w:tc>
          <w:tcPr>
            <w:tcW w:w="6120" w:type="dxa"/>
            <w:vAlign w:val="center"/>
          </w:tcPr>
          <w:p w:rsidR="00A45F23" w:rsidRPr="00A76573" w:rsidRDefault="00AB3AEE" w:rsidP="00380CE6">
            <w:pPr>
              <w:pStyle w:val="Table"/>
              <w:jc w:val="left"/>
              <w:rPr>
                <w:sz w:val="22"/>
                <w:szCs w:val="22"/>
              </w:rPr>
            </w:pPr>
            <w:r w:rsidRPr="00D971D8">
              <w:rPr>
                <w:sz w:val="22"/>
                <w:szCs w:val="22"/>
              </w:rPr>
              <w:t>Wholesale Trunk Segments of Leased Lines - IPLC</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E600D0" w:rsidP="00380CE6">
            <w:pPr>
              <w:pStyle w:val="Table"/>
              <w:jc w:val="left"/>
              <w:rPr>
                <w:sz w:val="22"/>
                <w:szCs w:val="22"/>
              </w:rPr>
            </w:pPr>
            <w:r>
              <w:rPr>
                <w:sz w:val="22"/>
                <w:szCs w:val="22"/>
              </w:rPr>
              <w:t>B-8</w:t>
            </w:r>
          </w:p>
        </w:tc>
        <w:tc>
          <w:tcPr>
            <w:tcW w:w="6120" w:type="dxa"/>
            <w:vAlign w:val="center"/>
          </w:tcPr>
          <w:p w:rsidR="00A45F23" w:rsidRPr="00A76573" w:rsidRDefault="00AB3AEE" w:rsidP="00380CE6">
            <w:pPr>
              <w:pStyle w:val="Table"/>
              <w:jc w:val="left"/>
              <w:rPr>
                <w:sz w:val="22"/>
                <w:szCs w:val="22"/>
              </w:rPr>
            </w:pPr>
            <w:r w:rsidRPr="00D971D8">
              <w:rPr>
                <w:sz w:val="22"/>
                <w:szCs w:val="22"/>
              </w:rPr>
              <w:t>Wholesale IP International Bandwidth Capacity</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E600D0" w:rsidP="00380CE6">
            <w:pPr>
              <w:pStyle w:val="Table"/>
              <w:jc w:val="left"/>
              <w:rPr>
                <w:sz w:val="22"/>
                <w:szCs w:val="22"/>
              </w:rPr>
            </w:pPr>
            <w:r>
              <w:rPr>
                <w:sz w:val="22"/>
                <w:szCs w:val="22"/>
              </w:rPr>
              <w:t>B-9</w:t>
            </w:r>
          </w:p>
        </w:tc>
        <w:tc>
          <w:tcPr>
            <w:tcW w:w="6120" w:type="dxa"/>
            <w:vAlign w:val="center"/>
          </w:tcPr>
          <w:p w:rsidR="00A45F23" w:rsidRPr="00A76573" w:rsidRDefault="00AB3AEE" w:rsidP="00380CE6">
            <w:pPr>
              <w:pStyle w:val="Table"/>
              <w:jc w:val="left"/>
              <w:rPr>
                <w:sz w:val="22"/>
                <w:szCs w:val="22"/>
              </w:rPr>
            </w:pPr>
            <w:r w:rsidRPr="00D971D8">
              <w:rPr>
                <w:sz w:val="22"/>
                <w:szCs w:val="22"/>
              </w:rPr>
              <w:t>Access to Landing Stations</w:t>
            </w:r>
          </w:p>
        </w:tc>
        <w:tc>
          <w:tcPr>
            <w:tcW w:w="1620" w:type="dxa"/>
            <w:vAlign w:val="center"/>
          </w:tcPr>
          <w:p w:rsidR="00A45F23" w:rsidRPr="00CB1B98" w:rsidRDefault="00A45F23" w:rsidP="00380CE6">
            <w:pPr>
              <w:pStyle w:val="Table"/>
              <w:rPr>
                <w:sz w:val="22"/>
                <w:szCs w:val="22"/>
              </w:rPr>
            </w:pPr>
          </w:p>
        </w:tc>
      </w:tr>
      <w:tr w:rsidR="00F70935" w:rsidRPr="00CB1B98" w:rsidTr="00E600D0">
        <w:trPr>
          <w:trHeight w:val="535"/>
        </w:trPr>
        <w:tc>
          <w:tcPr>
            <w:tcW w:w="1800" w:type="dxa"/>
            <w:vAlign w:val="center"/>
          </w:tcPr>
          <w:p w:rsidR="00F70935" w:rsidRDefault="00F70935" w:rsidP="00380CE6">
            <w:pPr>
              <w:pStyle w:val="Table"/>
              <w:jc w:val="left"/>
              <w:rPr>
                <w:sz w:val="22"/>
                <w:szCs w:val="22"/>
              </w:rPr>
            </w:pPr>
            <w:r>
              <w:rPr>
                <w:sz w:val="22"/>
                <w:szCs w:val="22"/>
              </w:rPr>
              <w:t>B-10</w:t>
            </w:r>
          </w:p>
        </w:tc>
        <w:tc>
          <w:tcPr>
            <w:tcW w:w="6120" w:type="dxa"/>
            <w:vAlign w:val="center"/>
          </w:tcPr>
          <w:p w:rsidR="00F70935" w:rsidRPr="00D971D8" w:rsidRDefault="00F70935" w:rsidP="00380CE6">
            <w:pPr>
              <w:pStyle w:val="Table"/>
              <w:jc w:val="left"/>
              <w:rPr>
                <w:sz w:val="22"/>
                <w:szCs w:val="22"/>
              </w:rPr>
            </w:pPr>
            <w:r>
              <w:rPr>
                <w:sz w:val="22"/>
                <w:szCs w:val="22"/>
              </w:rPr>
              <w:t>Access to Earth Station</w:t>
            </w:r>
          </w:p>
        </w:tc>
        <w:tc>
          <w:tcPr>
            <w:tcW w:w="1620" w:type="dxa"/>
            <w:vAlign w:val="center"/>
          </w:tcPr>
          <w:p w:rsidR="00F70935" w:rsidRPr="00CB1B98" w:rsidRDefault="00F70935" w:rsidP="00380CE6">
            <w:pPr>
              <w:pStyle w:val="Table"/>
              <w:rPr>
                <w:sz w:val="22"/>
                <w:szCs w:val="22"/>
              </w:rPr>
            </w:pPr>
          </w:p>
        </w:tc>
      </w:tr>
      <w:tr w:rsidR="00A45F23" w:rsidRPr="00CB1B98" w:rsidTr="00E600D0">
        <w:trPr>
          <w:trHeight w:val="535"/>
        </w:trPr>
        <w:tc>
          <w:tcPr>
            <w:tcW w:w="1800" w:type="dxa"/>
            <w:vAlign w:val="center"/>
          </w:tcPr>
          <w:p w:rsidR="00A45F23" w:rsidRPr="00CB1B98" w:rsidRDefault="00F70935" w:rsidP="00380CE6">
            <w:pPr>
              <w:pStyle w:val="Table"/>
              <w:jc w:val="left"/>
              <w:rPr>
                <w:sz w:val="22"/>
                <w:szCs w:val="22"/>
              </w:rPr>
            </w:pPr>
            <w:r>
              <w:rPr>
                <w:sz w:val="22"/>
                <w:szCs w:val="22"/>
              </w:rPr>
              <w:t>B-11</w:t>
            </w:r>
          </w:p>
        </w:tc>
        <w:tc>
          <w:tcPr>
            <w:tcW w:w="6120" w:type="dxa"/>
            <w:vAlign w:val="center"/>
          </w:tcPr>
          <w:p w:rsidR="00A45F23" w:rsidRPr="00A76573" w:rsidRDefault="00AB3AEE" w:rsidP="00380CE6">
            <w:pPr>
              <w:pStyle w:val="Table"/>
              <w:jc w:val="left"/>
              <w:rPr>
                <w:sz w:val="22"/>
                <w:szCs w:val="22"/>
              </w:rPr>
            </w:pPr>
            <w:r>
              <w:rPr>
                <w:sz w:val="22"/>
                <w:szCs w:val="22"/>
              </w:rPr>
              <w:t>Mobile Access Services (MVNO)</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F70935" w:rsidP="00380CE6">
            <w:pPr>
              <w:pStyle w:val="Table"/>
              <w:jc w:val="left"/>
              <w:rPr>
                <w:sz w:val="22"/>
                <w:szCs w:val="22"/>
              </w:rPr>
            </w:pPr>
            <w:r>
              <w:rPr>
                <w:sz w:val="22"/>
                <w:szCs w:val="22"/>
              </w:rPr>
              <w:t>B-12</w:t>
            </w:r>
          </w:p>
        </w:tc>
        <w:tc>
          <w:tcPr>
            <w:tcW w:w="6120" w:type="dxa"/>
            <w:vAlign w:val="center"/>
          </w:tcPr>
          <w:p w:rsidR="00A45F23" w:rsidRPr="00A76573" w:rsidRDefault="00AA7716" w:rsidP="00380CE6">
            <w:pPr>
              <w:pStyle w:val="Table"/>
              <w:jc w:val="left"/>
              <w:rPr>
                <w:sz w:val="22"/>
                <w:szCs w:val="22"/>
              </w:rPr>
            </w:pPr>
            <w:r>
              <w:rPr>
                <w:sz w:val="22"/>
                <w:szCs w:val="22"/>
              </w:rPr>
              <w:t>National Roaming</w:t>
            </w:r>
          </w:p>
        </w:tc>
        <w:tc>
          <w:tcPr>
            <w:tcW w:w="1620" w:type="dxa"/>
            <w:vAlign w:val="center"/>
          </w:tcPr>
          <w:p w:rsidR="00A45F23" w:rsidRPr="00CB1B98" w:rsidRDefault="00A45F23" w:rsidP="00380CE6">
            <w:pPr>
              <w:pStyle w:val="Table"/>
              <w:rPr>
                <w:sz w:val="22"/>
                <w:szCs w:val="22"/>
              </w:rPr>
            </w:pPr>
          </w:p>
        </w:tc>
      </w:tr>
      <w:tr w:rsidR="00A45F23" w:rsidRPr="00CB1B98" w:rsidTr="00E600D0">
        <w:trPr>
          <w:trHeight w:val="535"/>
        </w:trPr>
        <w:tc>
          <w:tcPr>
            <w:tcW w:w="1800" w:type="dxa"/>
            <w:vAlign w:val="center"/>
          </w:tcPr>
          <w:p w:rsidR="00A45F23" w:rsidRPr="00CB1B98" w:rsidRDefault="00F70935" w:rsidP="00380CE6">
            <w:pPr>
              <w:pStyle w:val="Table"/>
              <w:jc w:val="left"/>
              <w:rPr>
                <w:sz w:val="22"/>
                <w:szCs w:val="22"/>
              </w:rPr>
            </w:pPr>
            <w:r>
              <w:rPr>
                <w:sz w:val="22"/>
                <w:szCs w:val="22"/>
              </w:rPr>
              <w:t>B-13</w:t>
            </w:r>
          </w:p>
        </w:tc>
        <w:tc>
          <w:tcPr>
            <w:tcW w:w="6120" w:type="dxa"/>
            <w:vAlign w:val="center"/>
          </w:tcPr>
          <w:p w:rsidR="00A45F23" w:rsidRPr="00A76573" w:rsidRDefault="00AA7716" w:rsidP="00380CE6">
            <w:pPr>
              <w:pStyle w:val="Table"/>
              <w:jc w:val="left"/>
              <w:rPr>
                <w:sz w:val="22"/>
                <w:szCs w:val="22"/>
              </w:rPr>
            </w:pPr>
            <w:r>
              <w:rPr>
                <w:sz w:val="22"/>
                <w:szCs w:val="22"/>
              </w:rPr>
              <w:t>Co-Location</w:t>
            </w:r>
          </w:p>
        </w:tc>
        <w:tc>
          <w:tcPr>
            <w:tcW w:w="1620" w:type="dxa"/>
            <w:vAlign w:val="center"/>
          </w:tcPr>
          <w:p w:rsidR="00A45F23" w:rsidRPr="00CB1B98" w:rsidRDefault="00A45F23" w:rsidP="00380CE6">
            <w:pPr>
              <w:pStyle w:val="Table"/>
              <w:rPr>
                <w:sz w:val="22"/>
                <w:szCs w:val="22"/>
              </w:rPr>
            </w:pPr>
          </w:p>
        </w:tc>
      </w:tr>
    </w:tbl>
    <w:p w:rsidR="008E3685" w:rsidRPr="008E3685" w:rsidRDefault="008E3685" w:rsidP="00A45F23">
      <w:pPr>
        <w:keepNext/>
        <w:tabs>
          <w:tab w:val="clear" w:pos="357"/>
          <w:tab w:val="clear" w:pos="720"/>
        </w:tabs>
        <w:snapToGrid/>
        <w:spacing w:after="120" w:line="360" w:lineRule="auto"/>
        <w:ind w:left="576" w:right="432" w:hanging="576"/>
        <w:jc w:val="both"/>
        <w:outlineLvl w:val="1"/>
        <w:rPr>
          <w:rFonts w:cs="Arial"/>
        </w:rPr>
      </w:pPr>
    </w:p>
    <w:p w:rsidR="008E3685" w:rsidRPr="008E3685" w:rsidRDefault="008E3685" w:rsidP="008E3685">
      <w:pPr>
        <w:widowControl w:val="0"/>
        <w:tabs>
          <w:tab w:val="clear" w:pos="357"/>
          <w:tab w:val="clear" w:pos="720"/>
          <w:tab w:val="left" w:pos="540"/>
          <w:tab w:val="left" w:pos="4940"/>
        </w:tabs>
        <w:snapToGrid/>
        <w:spacing w:after="120" w:line="360" w:lineRule="auto"/>
        <w:ind w:left="539" w:right="431" w:hanging="539"/>
        <w:jc w:val="both"/>
        <w:outlineLvl w:val="1"/>
        <w:rPr>
          <w:rFonts w:cs="Arial"/>
        </w:rPr>
      </w:pPr>
    </w:p>
    <w:p w:rsidR="008E3685" w:rsidRDefault="008E3685">
      <w:pPr>
        <w:tabs>
          <w:tab w:val="clear" w:pos="357"/>
          <w:tab w:val="clear" w:pos="720"/>
        </w:tabs>
        <w:snapToGrid/>
        <w:spacing w:before="0" w:after="160" w:line="259" w:lineRule="auto"/>
      </w:pPr>
    </w:p>
    <w:sectPr w:rsidR="008E3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45209"/>
    <w:multiLevelType w:val="multilevel"/>
    <w:tmpl w:val="5A9470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9530B87"/>
    <w:multiLevelType w:val="multilevel"/>
    <w:tmpl w:val="02085516"/>
    <w:lvl w:ilvl="0">
      <w:start w:val="1"/>
      <w:numFmt w:val="lowerLetter"/>
      <w:pStyle w:val="listParagrapha"/>
      <w:lvlText w:val="(%1)"/>
      <w:lvlJc w:val="left"/>
      <w:pPr>
        <w:ind w:left="1440" w:hanging="576"/>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3D9F47AB"/>
    <w:multiLevelType w:val="hybridMultilevel"/>
    <w:tmpl w:val="631E12B2"/>
    <w:lvl w:ilvl="0" w:tplc="7AEE85DA">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3A2289"/>
    <w:multiLevelType w:val="multilevel"/>
    <w:tmpl w:val="5A9470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E7D47C1"/>
    <w:multiLevelType w:val="hybridMultilevel"/>
    <w:tmpl w:val="F1D661FE"/>
    <w:lvl w:ilvl="0" w:tplc="0EC01E3E">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2671E1"/>
    <w:multiLevelType w:val="multilevel"/>
    <w:tmpl w:val="F34C4268"/>
    <w:lvl w:ilvl="0">
      <w:start w:val="1"/>
      <w:numFmt w:val="decimal"/>
      <w:lvlText w:val="%1"/>
      <w:lvlJc w:val="left"/>
      <w:pPr>
        <w:tabs>
          <w:tab w:val="num" w:pos="432"/>
        </w:tabs>
        <w:ind w:left="432" w:hanging="432"/>
      </w:p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691F189B"/>
    <w:multiLevelType w:val="multilevel"/>
    <w:tmpl w:val="5A9470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
  </w:num>
  <w:num w:numId="3">
    <w:abstractNumId w:val="4"/>
  </w:num>
  <w:num w:numId="4">
    <w:abstractNumId w:val="6"/>
  </w:num>
  <w:num w:numId="5">
    <w:abstractNumId w:val="0"/>
  </w:num>
  <w:num w:numId="6">
    <w:abstractNumId w:val="3"/>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85"/>
    <w:rsid w:val="00032704"/>
    <w:rsid w:val="00171C3D"/>
    <w:rsid w:val="00272C7C"/>
    <w:rsid w:val="003074AC"/>
    <w:rsid w:val="003273AB"/>
    <w:rsid w:val="00353C90"/>
    <w:rsid w:val="00393914"/>
    <w:rsid w:val="00435656"/>
    <w:rsid w:val="004C4DCA"/>
    <w:rsid w:val="004E1510"/>
    <w:rsid w:val="004F4FF6"/>
    <w:rsid w:val="00507B4D"/>
    <w:rsid w:val="005D690F"/>
    <w:rsid w:val="006471A1"/>
    <w:rsid w:val="0065587A"/>
    <w:rsid w:val="00685071"/>
    <w:rsid w:val="00773E99"/>
    <w:rsid w:val="007C1DA5"/>
    <w:rsid w:val="00852B84"/>
    <w:rsid w:val="008E3685"/>
    <w:rsid w:val="008F0EFB"/>
    <w:rsid w:val="009010F4"/>
    <w:rsid w:val="00A45F23"/>
    <w:rsid w:val="00A83F51"/>
    <w:rsid w:val="00AA4CD0"/>
    <w:rsid w:val="00AA7716"/>
    <w:rsid w:val="00AB3AEE"/>
    <w:rsid w:val="00B10AD5"/>
    <w:rsid w:val="00B12991"/>
    <w:rsid w:val="00B80E2F"/>
    <w:rsid w:val="00B81CC6"/>
    <w:rsid w:val="00BA25C7"/>
    <w:rsid w:val="00BA65D4"/>
    <w:rsid w:val="00BF2C30"/>
    <w:rsid w:val="00BF74F7"/>
    <w:rsid w:val="00C5216A"/>
    <w:rsid w:val="00C63910"/>
    <w:rsid w:val="00C71C8C"/>
    <w:rsid w:val="00CA12EC"/>
    <w:rsid w:val="00CE2C7C"/>
    <w:rsid w:val="00D20EF7"/>
    <w:rsid w:val="00D804A1"/>
    <w:rsid w:val="00DF340C"/>
    <w:rsid w:val="00E600D0"/>
    <w:rsid w:val="00E60FE6"/>
    <w:rsid w:val="00F615A0"/>
    <w:rsid w:val="00F70935"/>
    <w:rsid w:val="00F70E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87106"/>
  <w15:docId w15:val="{D2682A0D-4D07-4AEC-A519-4490DD224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685"/>
    <w:pPr>
      <w:tabs>
        <w:tab w:val="left" w:pos="357"/>
        <w:tab w:val="left" w:pos="720"/>
      </w:tabs>
      <w:snapToGrid w:val="0"/>
      <w:spacing w:before="120" w:after="0" w:line="288" w:lineRule="auto"/>
    </w:pPr>
    <w:rPr>
      <w:rFonts w:ascii="Arial" w:eastAsia="Times New Roman" w:hAnsi="Arial" w:cs="Times New Roman"/>
      <w:sz w:val="20"/>
      <w:szCs w:val="20"/>
      <w:lang w:val="en-GB" w:eastAsia="sv-SE"/>
    </w:rPr>
  </w:style>
  <w:style w:type="paragraph" w:styleId="Heading1">
    <w:name w:val="heading 1"/>
    <w:aliases w:val="h1,69%,No numbers,Para1,h11,h12,L1,Attribute Heading 1,Section Heading,H1,Head1,Heading apps,Topic,Group heading,h1 chapter heading,A MAJOR/BOLD,Schedule Heading 1,RFP Heading 1,Heading 1A,1,Heading 1 St.George,1.,Title GS,level1,Schedheading"/>
    <w:basedOn w:val="Normal"/>
    <w:next w:val="Normal"/>
    <w:link w:val="Heading1Char"/>
    <w:uiPriority w:val="99"/>
    <w:qFormat/>
    <w:rsid w:val="008E368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h2,Heading 2 Char1,Heading 2 Char Char,h2 Char Char,l2 Char Char,list 2 Char Char,list 2 Char Char,heading 2TOC Char Char,Head 2 Char Char,List level 2 Char Char,2 Char Char,Header 2 Char Char,body Char Char,Attribute Heading 2 Char Char"/>
    <w:basedOn w:val="Normal"/>
    <w:next w:val="Normal"/>
    <w:link w:val="Heading2Char"/>
    <w:uiPriority w:val="99"/>
    <w:unhideWhenUsed/>
    <w:qFormat/>
    <w:rsid w:val="008E368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h3,H3,H31,h31,h32,Para3,(Alt+3),(Alt+3)1,(Alt+3)2,(Alt+3)3,(Alt+3)4,(Alt+3)5,(Alt+3)6,(Alt+3)11,(Alt+3)21,(Alt+3)31,(Alt+3)41,(Alt+3)7,(Alt+3)12,(Alt+3)22,(Alt+3)32,(Alt+3)42,(Alt+3)8,(Alt+3)9,(Alt+3)10,(Alt+3)13,(Alt+3)23,(Alt+3)33,H32,H33"/>
    <w:basedOn w:val="Normal"/>
    <w:next w:val="Normal"/>
    <w:link w:val="Heading3Char"/>
    <w:uiPriority w:val="99"/>
    <w:qFormat/>
    <w:rsid w:val="008E3685"/>
    <w:pPr>
      <w:tabs>
        <w:tab w:val="clear" w:pos="357"/>
        <w:tab w:val="num" w:pos="720"/>
      </w:tabs>
      <w:snapToGrid/>
      <w:spacing w:after="120" w:line="360" w:lineRule="auto"/>
      <w:ind w:left="720" w:right="720" w:hanging="720"/>
      <w:outlineLvl w:val="2"/>
    </w:pPr>
    <w:rPr>
      <w:rFonts w:cs="Arial"/>
    </w:rPr>
  </w:style>
  <w:style w:type="paragraph" w:styleId="Heading4">
    <w:name w:val="heading 4"/>
    <w:basedOn w:val="Normal"/>
    <w:next w:val="Normal"/>
    <w:link w:val="Heading4Char"/>
    <w:semiHidden/>
    <w:unhideWhenUsed/>
    <w:qFormat/>
    <w:rsid w:val="008E3685"/>
    <w:pPr>
      <w:keepNext/>
      <w:spacing w:before="240" w:after="60"/>
      <w:outlineLvl w:val="3"/>
    </w:pPr>
    <w:rPr>
      <w:rFonts w:ascii="Times New Roman" w:hAnsi="Times New Roman"/>
      <w:b/>
      <w:bCs/>
      <w:sz w:val="28"/>
      <w:szCs w:val="28"/>
    </w:rPr>
  </w:style>
  <w:style w:type="paragraph" w:styleId="Heading6">
    <w:name w:val="heading 6"/>
    <w:basedOn w:val="Normal"/>
    <w:next w:val="Normal"/>
    <w:link w:val="Heading6Char"/>
    <w:semiHidden/>
    <w:unhideWhenUsed/>
    <w:qFormat/>
    <w:rsid w:val="008E3685"/>
    <w:pPr>
      <w:keepNext/>
      <w:spacing w:line="240" w:lineRule="auto"/>
      <w:jc w:val="center"/>
      <w:outlineLvl w:val="5"/>
    </w:pPr>
    <w:rPr>
      <w:rFonts w:cs="Arial"/>
      <w:b/>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8E3685"/>
    <w:rPr>
      <w:rFonts w:ascii="Times New Roman" w:eastAsia="Times New Roman" w:hAnsi="Times New Roman" w:cs="Times New Roman"/>
      <w:b/>
      <w:bCs/>
      <w:sz w:val="28"/>
      <w:szCs w:val="28"/>
      <w:lang w:val="en-GB" w:eastAsia="sv-SE"/>
    </w:rPr>
  </w:style>
  <w:style w:type="character" w:customStyle="1" w:styleId="Heading6Char">
    <w:name w:val="Heading 6 Char"/>
    <w:basedOn w:val="DefaultParagraphFont"/>
    <w:link w:val="Heading6"/>
    <w:semiHidden/>
    <w:rsid w:val="008E3685"/>
    <w:rPr>
      <w:rFonts w:ascii="Arial" w:eastAsia="Times New Roman" w:hAnsi="Arial" w:cs="Arial"/>
      <w:b/>
      <w:sz w:val="32"/>
      <w:szCs w:val="32"/>
      <w:lang w:eastAsia="sv-SE"/>
    </w:rPr>
  </w:style>
  <w:style w:type="character" w:customStyle="1" w:styleId="Heading1Char">
    <w:name w:val="Heading 1 Char"/>
    <w:aliases w:val="h1 Char,69% Char,No numbers Char,Para1 Char,h11 Char,h12 Char,L1 Char,Attribute Heading 1 Char,Section Heading Char,H1 Char,Head1 Char,Heading apps Char,Topic Char,Group heading Char,h1 chapter heading Char,A MAJOR/BOLD Char,1 Char"/>
    <w:basedOn w:val="DefaultParagraphFont"/>
    <w:link w:val="Heading1"/>
    <w:uiPriority w:val="9"/>
    <w:rsid w:val="008E3685"/>
    <w:rPr>
      <w:rFonts w:asciiTheme="majorHAnsi" w:eastAsiaTheme="majorEastAsia" w:hAnsiTheme="majorHAnsi" w:cstheme="majorBidi"/>
      <w:color w:val="2E74B5" w:themeColor="accent1" w:themeShade="BF"/>
      <w:sz w:val="32"/>
      <w:szCs w:val="32"/>
      <w:lang w:val="en-GB" w:eastAsia="sv-SE"/>
    </w:rPr>
  </w:style>
  <w:style w:type="character" w:customStyle="1" w:styleId="Heading2Char">
    <w:name w:val="Heading 2 Char"/>
    <w:aliases w:val="H2 Char,h2 Char,Heading 2 Char1 Char,Heading 2 Char Char Char,h2 Char Char Char,l2 Char Char Char,list 2 Char Char Char,list 2 Char Char Char,heading 2TOC Char Char Char,Head 2 Char Char Char,List level 2 Char Char Char,2 Char Char Char"/>
    <w:basedOn w:val="DefaultParagraphFont"/>
    <w:link w:val="Heading2"/>
    <w:uiPriority w:val="9"/>
    <w:semiHidden/>
    <w:rsid w:val="008E3685"/>
    <w:rPr>
      <w:rFonts w:asciiTheme="majorHAnsi" w:eastAsiaTheme="majorEastAsia" w:hAnsiTheme="majorHAnsi" w:cstheme="majorBidi"/>
      <w:color w:val="2E74B5" w:themeColor="accent1" w:themeShade="BF"/>
      <w:sz w:val="26"/>
      <w:szCs w:val="26"/>
      <w:lang w:val="en-GB" w:eastAsia="sv-SE"/>
    </w:rPr>
  </w:style>
  <w:style w:type="character" w:customStyle="1" w:styleId="Heading3Char">
    <w:name w:val="Heading 3 Char"/>
    <w:aliases w:val="h3 Char,H3 Char,H31 Char,h31 Char,h32 Char,Para3 Char,(Alt+3) Char,(Alt+3)1 Char,(Alt+3)2 Char,(Alt+3)3 Char,(Alt+3)4 Char,(Alt+3)5 Char,(Alt+3)6 Char,(Alt+3)11 Char,(Alt+3)21 Char,(Alt+3)31 Char,(Alt+3)41 Char,(Alt+3)7 Char,(Alt+3)8 Char"/>
    <w:basedOn w:val="DefaultParagraphFont"/>
    <w:link w:val="Heading3"/>
    <w:uiPriority w:val="99"/>
    <w:rsid w:val="008E3685"/>
    <w:rPr>
      <w:rFonts w:ascii="Arial" w:eastAsia="Times New Roman" w:hAnsi="Arial" w:cs="Arial"/>
      <w:sz w:val="20"/>
      <w:szCs w:val="20"/>
      <w:lang w:val="en-GB" w:eastAsia="sv-SE"/>
    </w:rPr>
  </w:style>
  <w:style w:type="paragraph" w:styleId="ListParagraph">
    <w:name w:val="List Paragraph"/>
    <w:basedOn w:val="Normal"/>
    <w:link w:val="ListParagraphChar"/>
    <w:uiPriority w:val="34"/>
    <w:qFormat/>
    <w:rsid w:val="00773E99"/>
    <w:pPr>
      <w:ind w:left="720"/>
      <w:contextualSpacing/>
    </w:pPr>
  </w:style>
  <w:style w:type="paragraph" w:customStyle="1" w:styleId="Style1">
    <w:name w:val="Style1"/>
    <w:basedOn w:val="ListParagraph"/>
    <w:link w:val="Style1Char"/>
    <w:qFormat/>
    <w:rsid w:val="00CE2C7C"/>
    <w:pPr>
      <w:keepNext/>
      <w:pageBreakBefore/>
      <w:numPr>
        <w:numId w:val="2"/>
      </w:numPr>
      <w:pBdr>
        <w:top w:val="single" w:sz="4" w:space="1" w:color="808080" w:shadow="1"/>
        <w:left w:val="single" w:sz="4" w:space="4" w:color="808080" w:shadow="1"/>
        <w:bottom w:val="single" w:sz="4" w:space="1" w:color="808080" w:shadow="1"/>
        <w:right w:val="single" w:sz="4" w:space="4" w:color="808080" w:shadow="1"/>
      </w:pBdr>
      <w:shd w:val="clear" w:color="auto" w:fill="C00000"/>
      <w:tabs>
        <w:tab w:val="clear" w:pos="357"/>
        <w:tab w:val="clear" w:pos="720"/>
        <w:tab w:val="num" w:pos="432"/>
      </w:tabs>
      <w:snapToGrid/>
      <w:spacing w:before="240" w:after="480" w:line="360" w:lineRule="auto"/>
      <w:ind w:left="450" w:right="432" w:hanging="432"/>
      <w:contextualSpacing w:val="0"/>
      <w:jc w:val="center"/>
      <w:outlineLvl w:val="0"/>
    </w:pPr>
    <w:rPr>
      <w:rFonts w:cs="Arial"/>
      <w:b/>
      <w:bCs/>
      <w:noProof/>
      <w:color w:val="FFFFFF"/>
      <w:kern w:val="32"/>
      <w:sz w:val="36"/>
      <w:szCs w:val="36"/>
      <w:lang w:eastAsia="en-US"/>
    </w:rPr>
  </w:style>
  <w:style w:type="paragraph" w:styleId="TOC1">
    <w:name w:val="toc 1"/>
    <w:basedOn w:val="Normal"/>
    <w:next w:val="Normal"/>
    <w:autoRedefine/>
    <w:uiPriority w:val="39"/>
    <w:unhideWhenUsed/>
    <w:rsid w:val="00CE2C7C"/>
    <w:pPr>
      <w:tabs>
        <w:tab w:val="clear" w:pos="357"/>
        <w:tab w:val="clear" w:pos="720"/>
      </w:tabs>
      <w:spacing w:after="100"/>
    </w:pPr>
  </w:style>
  <w:style w:type="character" w:customStyle="1" w:styleId="ListParagraphChar">
    <w:name w:val="List Paragraph Char"/>
    <w:basedOn w:val="DefaultParagraphFont"/>
    <w:link w:val="ListParagraph"/>
    <w:uiPriority w:val="34"/>
    <w:rsid w:val="00CE2C7C"/>
    <w:rPr>
      <w:rFonts w:ascii="Arial" w:eastAsia="Times New Roman" w:hAnsi="Arial" w:cs="Times New Roman"/>
      <w:sz w:val="20"/>
      <w:szCs w:val="20"/>
      <w:lang w:val="en-GB" w:eastAsia="sv-SE"/>
    </w:rPr>
  </w:style>
  <w:style w:type="character" w:customStyle="1" w:styleId="Style1Char">
    <w:name w:val="Style1 Char"/>
    <w:basedOn w:val="ListParagraphChar"/>
    <w:link w:val="Style1"/>
    <w:rsid w:val="00CE2C7C"/>
    <w:rPr>
      <w:rFonts w:ascii="Arial" w:eastAsia="Times New Roman" w:hAnsi="Arial" w:cs="Arial"/>
      <w:b/>
      <w:bCs/>
      <w:noProof/>
      <w:color w:val="FFFFFF"/>
      <w:kern w:val="32"/>
      <w:sz w:val="36"/>
      <w:szCs w:val="36"/>
      <w:shd w:val="clear" w:color="auto" w:fill="C00000"/>
      <w:lang w:val="en-GB" w:eastAsia="sv-SE"/>
    </w:rPr>
  </w:style>
  <w:style w:type="character" w:styleId="Hyperlink">
    <w:name w:val="Hyperlink"/>
    <w:basedOn w:val="DefaultParagraphFont"/>
    <w:uiPriority w:val="99"/>
    <w:unhideWhenUsed/>
    <w:rsid w:val="00CE2C7C"/>
    <w:rPr>
      <w:color w:val="0563C1" w:themeColor="hyperlink"/>
      <w:u w:val="single"/>
    </w:rPr>
  </w:style>
  <w:style w:type="paragraph" w:customStyle="1" w:styleId="listParagrapha">
    <w:name w:val="list Paragraph (a)"/>
    <w:basedOn w:val="Normal"/>
    <w:qFormat/>
    <w:rsid w:val="00CE2C7C"/>
    <w:pPr>
      <w:numPr>
        <w:numId w:val="7"/>
      </w:numPr>
      <w:tabs>
        <w:tab w:val="clear" w:pos="357"/>
        <w:tab w:val="clear" w:pos="720"/>
      </w:tabs>
      <w:snapToGrid/>
      <w:spacing w:before="240" w:line="360" w:lineRule="auto"/>
    </w:pPr>
    <w:rPr>
      <w:rFonts w:ascii="Helvetica" w:hAnsi="Helvetica" w:cs="Helvetica"/>
      <w:sz w:val="22"/>
      <w:szCs w:val="22"/>
      <w:lang w:val="en-US" w:eastAsia="en-US"/>
    </w:rPr>
  </w:style>
  <w:style w:type="table" w:customStyle="1" w:styleId="TableGridLight1">
    <w:name w:val="Table Grid Light1"/>
    <w:basedOn w:val="TableNormal"/>
    <w:rsid w:val="00A45F23"/>
    <w:pPr>
      <w:spacing w:after="0" w:line="240" w:lineRule="auto"/>
    </w:pPr>
    <w:rPr>
      <w:rFonts w:ascii="Helvetica" w:eastAsia="Times New Roman" w:hAnsi="Helvetica" w:cs="Helvetica"/>
      <w:sz w:val="24"/>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
    <w:name w:val="Table"/>
    <w:basedOn w:val="Normal"/>
    <w:link w:val="TableChar"/>
    <w:qFormat/>
    <w:rsid w:val="00A45F23"/>
    <w:pPr>
      <w:tabs>
        <w:tab w:val="clear" w:pos="357"/>
        <w:tab w:val="clear" w:pos="720"/>
      </w:tabs>
      <w:snapToGrid/>
      <w:spacing w:before="100" w:beforeAutospacing="1" w:after="100" w:afterAutospacing="1" w:line="240" w:lineRule="auto"/>
      <w:jc w:val="center"/>
    </w:pPr>
    <w:rPr>
      <w:rFonts w:ascii="Helvetica" w:hAnsi="Helvetica" w:cs="Helvetica"/>
      <w:sz w:val="24"/>
      <w:lang w:val="en-US" w:eastAsia="en-US"/>
    </w:rPr>
  </w:style>
  <w:style w:type="character" w:customStyle="1" w:styleId="TableChar">
    <w:name w:val="Table Char"/>
    <w:basedOn w:val="DefaultParagraphFont"/>
    <w:link w:val="Table"/>
    <w:rsid w:val="00A45F23"/>
    <w:rPr>
      <w:rFonts w:ascii="Helvetica" w:eastAsia="Times New Roman" w:hAnsi="Helvetica" w:cs="Helvetica"/>
      <w:sz w:val="24"/>
      <w:szCs w:val="20"/>
    </w:rPr>
  </w:style>
  <w:style w:type="paragraph" w:styleId="BalloonText">
    <w:name w:val="Balloon Text"/>
    <w:basedOn w:val="Normal"/>
    <w:link w:val="BalloonTextChar"/>
    <w:uiPriority w:val="99"/>
    <w:semiHidden/>
    <w:unhideWhenUsed/>
    <w:rsid w:val="00F70935"/>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935"/>
    <w:rPr>
      <w:rFonts w:ascii="Segoe UI" w:eastAsia="Times New Roman" w:hAnsi="Segoe UI" w:cs="Segoe UI"/>
      <w:sz w:val="18"/>
      <w:szCs w:val="18"/>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5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Manal Al-Adawi</dc:creator>
  <cp:keywords/>
  <dc:description/>
  <cp:lastModifiedBy>Manal Al-Adawi</cp:lastModifiedBy>
  <cp:revision>3</cp:revision>
  <cp:lastPrinted>2018-08-08T05:58:00Z</cp:lastPrinted>
  <dcterms:created xsi:type="dcterms:W3CDTF">2018-08-08T05:57:00Z</dcterms:created>
  <dcterms:modified xsi:type="dcterms:W3CDTF">2018-08-08T05:58:00Z</dcterms:modified>
</cp:coreProperties>
</file>